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5F2BFB">
      <w:pPr>
        <w:pStyle w:val="13"/>
        <w:rPr>
          <w:rFonts w:ascii="宋体" w:hAnsi="宋体" w:eastAsia="宋体" w:cs="宋体"/>
          <w:b/>
        </w:rPr>
      </w:pPr>
      <w:r>
        <w:rPr>
          <w:rFonts w:hint="eastAsia" w:ascii="宋体" w:hAnsi="宋体" w:eastAsia="宋体" w:cs="宋体"/>
          <w:b/>
        </w:rPr>
        <w:t>厦门古龙食品有限公司</w:t>
      </w:r>
    </w:p>
    <w:p w14:paraId="117F8109">
      <w:pPr>
        <w:pStyle w:val="13"/>
        <w:rPr>
          <w:rFonts w:ascii="宋体" w:hAnsi="宋体" w:eastAsia="宋体" w:cs="宋体"/>
          <w:b/>
        </w:rPr>
      </w:pPr>
      <w:r>
        <w:rPr>
          <w:rFonts w:hint="eastAsia" w:ascii="宋体" w:hAnsi="宋体" w:eastAsia="宋体" w:cs="宋体"/>
          <w:b/>
        </w:rPr>
        <w:t>调味温湿度控制项目招标公告（第二轮）</w:t>
      </w:r>
    </w:p>
    <w:p w14:paraId="7303EAC0">
      <w:pPr>
        <w:numPr>
          <w:ilvl w:val="0"/>
          <w:numId w:val="1"/>
        </w:numPr>
        <w:tabs>
          <w:tab w:val="left" w:pos="1080"/>
        </w:tabs>
        <w:snapToGrid w:val="0"/>
        <w:spacing w:line="560" w:lineRule="exact"/>
        <w:ind w:left="0" w:right="420" w:rightChars="200" w:firstLine="640" w:firstLineChars="200"/>
        <w:rPr>
          <w:rFonts w:ascii="黑体" w:hAnsi="黑体" w:eastAsia="黑体"/>
          <w:sz w:val="32"/>
          <w:szCs w:val="32"/>
        </w:rPr>
      </w:pPr>
      <w:r>
        <w:rPr>
          <w:rFonts w:hint="eastAsia" w:ascii="黑体" w:hAnsi="黑体" w:eastAsia="黑体"/>
          <w:sz w:val="32"/>
          <w:szCs w:val="32"/>
        </w:rPr>
        <w:t>招标条件</w:t>
      </w:r>
    </w:p>
    <w:p w14:paraId="24BCE707">
      <w:pPr>
        <w:pStyle w:val="12"/>
        <w:spacing w:line="560" w:lineRule="exact"/>
        <w:ind w:right="420" w:rightChars="200" w:firstLine="640"/>
        <w:rPr>
          <w:rFonts w:ascii="仿宋" w:hAnsi="仿宋" w:eastAsia="仿宋" w:cs="宋体"/>
          <w:kern w:val="0"/>
          <w:sz w:val="32"/>
          <w:szCs w:val="32"/>
        </w:rPr>
      </w:pPr>
      <w:r>
        <w:rPr>
          <w:rFonts w:hint="eastAsia" w:ascii="仿宋" w:hAnsi="仿宋" w:eastAsia="仿宋" w:cs="宋体"/>
          <w:kern w:val="0"/>
          <w:sz w:val="32"/>
          <w:szCs w:val="32"/>
        </w:rPr>
        <w:t>1.本招标项目采购1套温湿度控制系统已由厦门古龙食品有限公司批准实施。</w:t>
      </w:r>
    </w:p>
    <w:p w14:paraId="31E8E07D">
      <w:pPr>
        <w:pStyle w:val="12"/>
        <w:spacing w:line="560" w:lineRule="exact"/>
        <w:ind w:right="420" w:rightChars="200" w:firstLine="640"/>
        <w:rPr>
          <w:rFonts w:ascii="仿宋" w:hAnsi="仿宋" w:eastAsia="仿宋" w:cs="宋体"/>
          <w:kern w:val="0"/>
          <w:sz w:val="32"/>
          <w:szCs w:val="32"/>
        </w:rPr>
      </w:pPr>
      <w:r>
        <w:rPr>
          <w:rFonts w:hint="eastAsia" w:ascii="仿宋" w:hAnsi="仿宋" w:eastAsia="仿宋" w:cs="宋体"/>
          <w:kern w:val="0"/>
          <w:sz w:val="32"/>
          <w:szCs w:val="32"/>
        </w:rPr>
        <w:t>2.招标人为厦门古龙食品有限公司。</w:t>
      </w:r>
    </w:p>
    <w:p w14:paraId="7FF58953">
      <w:pPr>
        <w:numPr>
          <w:ilvl w:val="0"/>
          <w:numId w:val="1"/>
        </w:numPr>
        <w:tabs>
          <w:tab w:val="left" w:pos="1080"/>
        </w:tabs>
        <w:snapToGrid w:val="0"/>
        <w:spacing w:line="560" w:lineRule="exact"/>
        <w:ind w:left="0" w:right="420" w:rightChars="200" w:firstLine="640" w:firstLineChars="200"/>
        <w:rPr>
          <w:rFonts w:ascii="黑体" w:hAnsi="黑体" w:eastAsia="黑体"/>
          <w:sz w:val="32"/>
          <w:szCs w:val="32"/>
        </w:rPr>
      </w:pPr>
      <w:r>
        <w:rPr>
          <w:rFonts w:hint="eastAsia" w:ascii="黑体" w:hAnsi="黑体" w:eastAsia="黑体"/>
          <w:sz w:val="32"/>
          <w:szCs w:val="32"/>
        </w:rPr>
        <w:t>项目概况</w:t>
      </w:r>
    </w:p>
    <w:p w14:paraId="11641E5E">
      <w:pPr>
        <w:pStyle w:val="12"/>
        <w:spacing w:line="560" w:lineRule="exact"/>
        <w:ind w:right="420" w:rightChars="200" w:firstLine="640"/>
        <w:rPr>
          <w:rFonts w:ascii="仿宋" w:hAnsi="仿宋" w:eastAsia="仿宋" w:cs="宋体"/>
          <w:kern w:val="0"/>
          <w:sz w:val="32"/>
          <w:szCs w:val="32"/>
        </w:rPr>
      </w:pPr>
      <w:r>
        <w:rPr>
          <w:rFonts w:hint="eastAsia" w:ascii="仿宋" w:hAnsi="仿宋" w:eastAsia="仿宋" w:cs="宋体"/>
          <w:kern w:val="0"/>
          <w:sz w:val="32"/>
          <w:szCs w:val="32"/>
        </w:rPr>
        <w:t>1.</w:t>
      </w:r>
      <w:r>
        <w:rPr>
          <w:rFonts w:ascii="仿宋" w:hAnsi="仿宋" w:eastAsia="仿宋" w:cs="宋体"/>
          <w:kern w:val="0"/>
          <w:sz w:val="32"/>
          <w:szCs w:val="32"/>
        </w:rPr>
        <w:t>招标项目名称：</w:t>
      </w:r>
      <w:r>
        <w:rPr>
          <w:rFonts w:hint="eastAsia" w:ascii="仿宋" w:hAnsi="仿宋" w:eastAsia="仿宋" w:cs="宋体"/>
          <w:kern w:val="0"/>
          <w:sz w:val="32"/>
          <w:szCs w:val="32"/>
        </w:rPr>
        <w:t>调味温湿度控制项目</w:t>
      </w:r>
    </w:p>
    <w:p w14:paraId="5C6E80E6">
      <w:pPr>
        <w:pStyle w:val="12"/>
        <w:spacing w:line="560" w:lineRule="exact"/>
        <w:ind w:right="420" w:rightChars="200" w:firstLine="640"/>
        <w:rPr>
          <w:rFonts w:ascii="仿宋" w:hAnsi="仿宋" w:eastAsia="仿宋" w:cs="宋体"/>
          <w:kern w:val="0"/>
          <w:sz w:val="32"/>
          <w:szCs w:val="32"/>
        </w:rPr>
      </w:pPr>
      <w:r>
        <w:rPr>
          <w:rFonts w:hint="eastAsia" w:ascii="仿宋" w:hAnsi="仿宋" w:eastAsia="仿宋" w:cs="宋体"/>
          <w:kern w:val="0"/>
          <w:sz w:val="32"/>
          <w:szCs w:val="32"/>
        </w:rPr>
        <w:t>2.招标项目地点：厦门市同集中路1666号古龙工业园</w:t>
      </w:r>
    </w:p>
    <w:p w14:paraId="539B8E60">
      <w:pPr>
        <w:pStyle w:val="12"/>
        <w:spacing w:line="560" w:lineRule="exact"/>
        <w:ind w:right="420" w:rightChars="200" w:firstLine="640"/>
        <w:rPr>
          <w:rFonts w:ascii="仿宋" w:hAnsi="仿宋" w:eastAsia="仿宋" w:cs="宋体"/>
          <w:kern w:val="0"/>
          <w:sz w:val="32"/>
          <w:szCs w:val="32"/>
        </w:rPr>
      </w:pPr>
      <w:r>
        <w:rPr>
          <w:rFonts w:hint="eastAsia" w:ascii="仿宋" w:hAnsi="仿宋" w:eastAsia="仿宋" w:cs="宋体"/>
          <w:kern w:val="0"/>
          <w:sz w:val="32"/>
          <w:szCs w:val="32"/>
        </w:rPr>
        <w:t>3.资格条件：</w:t>
      </w:r>
    </w:p>
    <w:p w14:paraId="50354ADD">
      <w:pPr>
        <w:pStyle w:val="12"/>
        <w:spacing w:line="560" w:lineRule="exact"/>
        <w:ind w:right="420" w:rightChars="200" w:firstLine="640"/>
        <w:rPr>
          <w:rFonts w:ascii="仿宋" w:hAnsi="仿宋" w:eastAsia="仿宋" w:cs="宋体"/>
          <w:kern w:val="0"/>
          <w:sz w:val="32"/>
          <w:szCs w:val="32"/>
        </w:rPr>
      </w:pPr>
      <w:r>
        <w:rPr>
          <w:rFonts w:hint="eastAsia" w:ascii="仿宋" w:hAnsi="仿宋" w:eastAsia="仿宋" w:cs="宋体"/>
          <w:kern w:val="0"/>
          <w:sz w:val="32"/>
          <w:szCs w:val="32"/>
        </w:rPr>
        <w:t>(1)投标人应具有有效的营业执照且具备相关安装调试温湿度控制系统的能力。</w:t>
      </w:r>
    </w:p>
    <w:p w14:paraId="2D3167D6">
      <w:pPr>
        <w:pStyle w:val="12"/>
        <w:spacing w:line="560" w:lineRule="exact"/>
        <w:ind w:right="420" w:rightChars="200" w:firstLine="640"/>
        <w:rPr>
          <w:rFonts w:ascii="仿宋" w:hAnsi="仿宋" w:eastAsia="仿宋" w:cs="宋体"/>
          <w:kern w:val="0"/>
          <w:sz w:val="32"/>
          <w:szCs w:val="32"/>
        </w:rPr>
      </w:pPr>
      <w:r>
        <w:rPr>
          <w:rFonts w:hint="eastAsia" w:ascii="仿宋" w:hAnsi="仿宋" w:eastAsia="仿宋" w:cs="宋体"/>
          <w:kern w:val="0"/>
          <w:sz w:val="32"/>
          <w:szCs w:val="32"/>
        </w:rPr>
        <w:t>(2)在人员、设备、资金等方面具有相应的能力。</w:t>
      </w:r>
    </w:p>
    <w:p w14:paraId="25F871D7">
      <w:pPr>
        <w:pStyle w:val="12"/>
        <w:spacing w:line="560" w:lineRule="exact"/>
        <w:ind w:right="420" w:rightChars="200" w:firstLine="640"/>
        <w:rPr>
          <w:rFonts w:ascii="仿宋" w:hAnsi="仿宋" w:eastAsia="仿宋" w:cs="宋体"/>
          <w:kern w:val="0"/>
          <w:sz w:val="32"/>
          <w:szCs w:val="32"/>
        </w:rPr>
      </w:pPr>
      <w:r>
        <w:rPr>
          <w:rFonts w:hint="eastAsia" w:ascii="仿宋" w:hAnsi="仿宋" w:eastAsia="仿宋" w:cs="宋体"/>
          <w:kern w:val="0"/>
          <w:sz w:val="32"/>
          <w:szCs w:val="32"/>
        </w:rPr>
        <w:t>(3)本次招标不接受联合体招标。</w:t>
      </w:r>
    </w:p>
    <w:p w14:paraId="410F78A7">
      <w:pPr>
        <w:numPr>
          <w:ilvl w:val="0"/>
          <w:numId w:val="1"/>
        </w:numPr>
        <w:tabs>
          <w:tab w:val="left" w:pos="1080"/>
        </w:tabs>
        <w:snapToGrid w:val="0"/>
        <w:spacing w:line="560" w:lineRule="exact"/>
        <w:ind w:left="0" w:right="420" w:rightChars="200" w:firstLine="640" w:firstLineChars="200"/>
        <w:rPr>
          <w:rFonts w:ascii="黑体" w:hAnsi="黑体" w:eastAsia="黑体"/>
          <w:sz w:val="32"/>
          <w:szCs w:val="32"/>
        </w:rPr>
      </w:pPr>
      <w:r>
        <w:rPr>
          <w:rFonts w:hint="eastAsia" w:ascii="黑体" w:hAnsi="黑体" w:eastAsia="黑体"/>
          <w:sz w:val="32"/>
          <w:szCs w:val="32"/>
        </w:rPr>
        <w:t>招标文件发布时间</w:t>
      </w:r>
    </w:p>
    <w:p w14:paraId="569CF549">
      <w:pPr>
        <w:pStyle w:val="12"/>
        <w:spacing w:line="560" w:lineRule="exact"/>
        <w:ind w:right="420" w:rightChars="200" w:firstLine="640"/>
        <w:rPr>
          <w:rFonts w:ascii="仿宋" w:hAnsi="仿宋" w:eastAsia="仿宋" w:cs="宋体"/>
          <w:kern w:val="0"/>
          <w:sz w:val="32"/>
          <w:szCs w:val="32"/>
        </w:rPr>
      </w:pPr>
      <w:r>
        <w:rPr>
          <w:rFonts w:hint="eastAsia" w:ascii="仿宋" w:hAnsi="仿宋" w:eastAsia="仿宋" w:cs="宋体"/>
          <w:kern w:val="0"/>
          <w:sz w:val="32"/>
          <w:szCs w:val="32"/>
        </w:rPr>
        <w:t>2026年11月2日</w:t>
      </w:r>
    </w:p>
    <w:p w14:paraId="6C99867B">
      <w:pPr>
        <w:numPr>
          <w:ilvl w:val="0"/>
          <w:numId w:val="1"/>
        </w:numPr>
        <w:tabs>
          <w:tab w:val="left" w:pos="1080"/>
        </w:tabs>
        <w:snapToGrid w:val="0"/>
        <w:spacing w:line="560" w:lineRule="exact"/>
        <w:ind w:left="0" w:right="420" w:rightChars="200" w:firstLine="640" w:firstLineChars="200"/>
        <w:rPr>
          <w:rFonts w:ascii="黑体" w:hAnsi="黑体" w:eastAsia="黑体"/>
          <w:sz w:val="32"/>
          <w:szCs w:val="32"/>
        </w:rPr>
      </w:pPr>
      <w:r>
        <w:rPr>
          <w:rFonts w:hint="eastAsia" w:ascii="黑体" w:hAnsi="黑体" w:eastAsia="黑体"/>
          <w:sz w:val="32"/>
          <w:szCs w:val="32"/>
        </w:rPr>
        <w:t>招标文件领取</w:t>
      </w:r>
    </w:p>
    <w:p w14:paraId="468DFB26">
      <w:pPr>
        <w:pStyle w:val="12"/>
        <w:spacing w:line="560" w:lineRule="exact"/>
        <w:ind w:right="420" w:rightChars="200" w:firstLine="640"/>
        <w:rPr>
          <w:rFonts w:ascii="仿宋" w:hAnsi="仿宋" w:eastAsia="仿宋" w:cs="宋体"/>
          <w:kern w:val="0"/>
          <w:sz w:val="32"/>
          <w:szCs w:val="32"/>
        </w:rPr>
      </w:pPr>
      <w:r>
        <w:rPr>
          <w:rFonts w:hint="eastAsia" w:ascii="仿宋" w:hAnsi="仿宋" w:eastAsia="仿宋" w:cs="宋体"/>
          <w:kern w:val="0"/>
          <w:sz w:val="32"/>
          <w:szCs w:val="32"/>
        </w:rPr>
        <w:t>本次招标项目在《福易采电子交易平台厦门分区》（www.xmygcg.com）发布招标公告。本招标文件将实行线上招标，凡潜在投标人请于即日起至2026年11月08日17时00分（节假日照常发售），通过《福易采电子交易平台厦门分区》（www.xmygcg.com）免费下载招标文件（包括相关资料），我司不另行提供纸质招标文件。未下载招标文件的潜在投标人，不能参加本项目。</w:t>
      </w:r>
    </w:p>
    <w:p w14:paraId="6F72EBA5">
      <w:pPr>
        <w:pStyle w:val="12"/>
        <w:spacing w:line="560" w:lineRule="exact"/>
        <w:ind w:right="420" w:rightChars="200" w:firstLine="640"/>
        <w:rPr>
          <w:rFonts w:ascii="仿宋" w:hAnsi="仿宋" w:eastAsia="仿宋" w:cs="宋体"/>
          <w:kern w:val="0"/>
          <w:sz w:val="32"/>
          <w:szCs w:val="32"/>
        </w:rPr>
      </w:pPr>
      <w:r>
        <w:rPr>
          <w:rFonts w:hint="eastAsia" w:ascii="仿宋" w:hAnsi="仿宋" w:eastAsia="仿宋" w:cs="宋体"/>
          <w:kern w:val="0"/>
          <w:sz w:val="32"/>
          <w:szCs w:val="32"/>
        </w:rPr>
        <w:t>备注：</w:t>
      </w:r>
    </w:p>
    <w:p w14:paraId="4844A2A6">
      <w:pPr>
        <w:pStyle w:val="12"/>
        <w:spacing w:line="560" w:lineRule="exact"/>
        <w:ind w:right="420" w:rightChars="200" w:firstLine="640"/>
        <w:rPr>
          <w:rFonts w:ascii="仿宋" w:hAnsi="仿宋" w:eastAsia="仿宋" w:cs="宋体"/>
          <w:kern w:val="0"/>
          <w:sz w:val="32"/>
          <w:szCs w:val="32"/>
        </w:rPr>
      </w:pPr>
      <w:r>
        <w:rPr>
          <w:rFonts w:hint="eastAsia" w:ascii="仿宋" w:hAnsi="仿宋" w:eastAsia="仿宋" w:cs="宋体"/>
          <w:kern w:val="0"/>
          <w:sz w:val="32"/>
          <w:szCs w:val="32"/>
        </w:rPr>
        <w:t>①潜在投标人通过《福易采电子交易平台厦门分区》（www.xmygcg.com）的“注册”入口办理企业免费注册手续，企业注册审核通过后，可进行项目报名，平台服务费200元人民币，在本项目招标公告界面（或通过工作台进入“采购执行”→“我的项目”-&gt;“我要参与”，选择参与本项目），即可购买招标文件（包括相关资料），购买成功后通过“采购执行”→“我的项目”下载招标文件。</w:t>
      </w:r>
    </w:p>
    <w:p w14:paraId="59C0C44E">
      <w:pPr>
        <w:pStyle w:val="12"/>
        <w:spacing w:line="560" w:lineRule="exact"/>
        <w:ind w:right="420" w:rightChars="200" w:firstLine="640"/>
        <w:rPr>
          <w:rFonts w:ascii="仿宋" w:hAnsi="仿宋" w:eastAsia="仿宋" w:cs="宋体"/>
          <w:kern w:val="0"/>
          <w:sz w:val="32"/>
          <w:szCs w:val="32"/>
        </w:rPr>
      </w:pPr>
      <w:r>
        <w:rPr>
          <w:rFonts w:hint="eastAsia" w:ascii="仿宋" w:hAnsi="仿宋" w:eastAsia="仿宋" w:cs="宋体"/>
          <w:kern w:val="0"/>
          <w:sz w:val="32"/>
          <w:szCs w:val="32"/>
        </w:rPr>
        <w:t>②潜在投标人下载电子招标文件（zip格式）后，可解压查看（含ebid格式文件），请仔细阅读“下载专区”中“福易采3.0操作手册-投标人&amp;供应商”，如仍有疑问可咨询平台工作人员。</w:t>
      </w:r>
    </w:p>
    <w:p w14:paraId="6702E040">
      <w:pPr>
        <w:numPr>
          <w:ilvl w:val="0"/>
          <w:numId w:val="1"/>
        </w:numPr>
        <w:tabs>
          <w:tab w:val="left" w:pos="1080"/>
        </w:tabs>
        <w:snapToGrid w:val="0"/>
        <w:spacing w:line="560" w:lineRule="exact"/>
        <w:ind w:left="0" w:right="420" w:rightChars="200" w:firstLine="640" w:firstLineChars="200"/>
        <w:rPr>
          <w:rFonts w:ascii="黑体" w:hAnsi="黑体" w:eastAsia="黑体"/>
          <w:sz w:val="32"/>
          <w:szCs w:val="32"/>
        </w:rPr>
      </w:pPr>
      <w:r>
        <w:rPr>
          <w:rFonts w:hint="eastAsia" w:ascii="黑体" w:hAnsi="黑体" w:eastAsia="黑体"/>
          <w:sz w:val="32"/>
          <w:szCs w:val="32"/>
        </w:rPr>
        <w:t>投标截止时间</w:t>
      </w:r>
    </w:p>
    <w:p w14:paraId="477BCAB0">
      <w:pPr>
        <w:pStyle w:val="12"/>
        <w:spacing w:line="560" w:lineRule="exact"/>
        <w:ind w:right="420" w:rightChars="200" w:firstLine="640"/>
        <w:rPr>
          <w:rFonts w:ascii="仿宋" w:hAnsi="仿宋" w:eastAsia="仿宋" w:cs="宋体"/>
          <w:kern w:val="0"/>
          <w:sz w:val="32"/>
          <w:szCs w:val="32"/>
        </w:rPr>
      </w:pPr>
      <w:r>
        <w:rPr>
          <w:rFonts w:hint="eastAsia" w:ascii="仿宋" w:hAnsi="仿宋" w:eastAsia="仿宋" w:cs="宋体"/>
          <w:kern w:val="0"/>
          <w:sz w:val="32"/>
          <w:szCs w:val="32"/>
        </w:rPr>
        <w:t>投标文件递交的截止时间（投标截止时间，下同）为：2026年11月12日9时15分，投标人应在投标截止时间前，将电子投标文件（etnd格式）上传到《福易采电子交易平台厦门分区》投标人应充分考虑上传电子投标文件（etnd格式）时的不可预见因素，在投标截止时间前未按规定格式上传电子投标文件（etnd格式）的，视为逾期送达，投标人是否已按规定要求上传电子投标文件（etnd格式），以福易采电子交易平台厦门分区系统显示数据为准。</w:t>
      </w:r>
    </w:p>
    <w:p w14:paraId="3431EFAA">
      <w:pPr>
        <w:numPr>
          <w:ilvl w:val="0"/>
          <w:numId w:val="1"/>
        </w:numPr>
        <w:tabs>
          <w:tab w:val="left" w:pos="1080"/>
        </w:tabs>
        <w:snapToGrid w:val="0"/>
        <w:spacing w:line="560" w:lineRule="exact"/>
        <w:ind w:left="0" w:right="420" w:rightChars="200" w:firstLine="640" w:firstLineChars="200"/>
        <w:rPr>
          <w:rFonts w:ascii="黑体" w:hAnsi="黑体" w:eastAsia="黑体"/>
          <w:sz w:val="32"/>
          <w:szCs w:val="32"/>
        </w:rPr>
      </w:pPr>
      <w:r>
        <w:rPr>
          <w:rFonts w:hint="eastAsia" w:ascii="黑体" w:hAnsi="黑体" w:eastAsia="黑体"/>
          <w:sz w:val="32"/>
          <w:szCs w:val="32"/>
        </w:rPr>
        <w:t>开标时间、地点</w:t>
      </w:r>
    </w:p>
    <w:p w14:paraId="5DDBDBBF">
      <w:pPr>
        <w:pStyle w:val="12"/>
        <w:spacing w:line="560" w:lineRule="exact"/>
        <w:ind w:right="420" w:rightChars="200" w:firstLine="640"/>
        <w:rPr>
          <w:rFonts w:ascii="仿宋" w:hAnsi="仿宋" w:eastAsia="仿宋" w:cs="宋体"/>
          <w:kern w:val="0"/>
          <w:sz w:val="32"/>
          <w:szCs w:val="32"/>
        </w:rPr>
      </w:pPr>
      <w:r>
        <w:rPr>
          <w:rFonts w:hint="eastAsia" w:ascii="仿宋" w:hAnsi="仿宋" w:eastAsia="仿宋" w:cs="宋体"/>
          <w:kern w:val="0"/>
          <w:sz w:val="32"/>
          <w:szCs w:val="32"/>
        </w:rPr>
        <w:t>（1）开标时间：2026年11月12日09时15分（北京时间）。</w:t>
      </w:r>
    </w:p>
    <w:p w14:paraId="17E11E97">
      <w:pPr>
        <w:pStyle w:val="12"/>
        <w:spacing w:line="560" w:lineRule="exact"/>
        <w:ind w:right="420" w:rightChars="200" w:firstLine="640"/>
        <w:rPr>
          <w:rFonts w:ascii="仿宋" w:hAnsi="仿宋" w:eastAsia="仿宋" w:cs="宋体"/>
          <w:kern w:val="0"/>
          <w:sz w:val="32"/>
          <w:szCs w:val="32"/>
        </w:rPr>
      </w:pPr>
      <w:r>
        <w:rPr>
          <w:rFonts w:hint="eastAsia" w:ascii="仿宋" w:hAnsi="仿宋" w:eastAsia="仿宋" w:cs="宋体"/>
          <w:kern w:val="0"/>
          <w:sz w:val="32"/>
          <w:szCs w:val="32"/>
        </w:rPr>
        <w:t>（2）开标地点：本项目在福易采电子交易平台上在线公开开标，投标人应在线参加开标。同时在福建省厦门市思明区湖滨南路366号轻工大厦1601本项目开标厅设置开标会场，诚邀投标人到场参加开标。</w:t>
      </w:r>
    </w:p>
    <w:p w14:paraId="243F9E48">
      <w:pPr>
        <w:pStyle w:val="12"/>
        <w:spacing w:line="560" w:lineRule="exact"/>
        <w:ind w:right="420" w:rightChars="200" w:firstLine="640"/>
        <w:rPr>
          <w:rFonts w:ascii="仿宋" w:hAnsi="仿宋" w:eastAsia="仿宋" w:cs="宋体"/>
          <w:kern w:val="0"/>
          <w:sz w:val="32"/>
          <w:szCs w:val="32"/>
        </w:rPr>
      </w:pPr>
      <w:r>
        <w:rPr>
          <w:rFonts w:hint="eastAsia" w:ascii="仿宋" w:hAnsi="仿宋" w:eastAsia="仿宋" w:cs="宋体"/>
          <w:kern w:val="0"/>
          <w:sz w:val="32"/>
          <w:szCs w:val="32"/>
        </w:rPr>
        <w:t>（3）电子投标文件的解密：开标时间到达后30分钟内为各投标人解密网络上传的电子投标文件（etnd格式）的时间，各投标人须通过《福易采电子交易平台厦门分区》使用报名的企业账号登录3.0系统，找到对应开标项目，进入开标大厅，待招标人下发解密指令后，插入本单位制作电子投标文件的CA数字证书对电子投标文件进行解密操作（若项目设置不需要CA数字证书，则输入投标文件编制时由投标人自行设置的密码进行解密），平台支持异地远程解密，也可以持CA数字证书到开标场所（或在现场输入密码），按照操作流程实现网络解密。（若发现无法自行解密的情况，请及时联系平台技术人员，咨询电话：4009183302）投标人解密完成后待招标代理机构下发开标记录表。招标人下发开标记录表后，各投标人根据招标人选择的签名方式使用CA数字证书对开标记录表进行签名确认或点击直接确认。</w:t>
      </w:r>
    </w:p>
    <w:p w14:paraId="17DF2B81">
      <w:pPr>
        <w:numPr>
          <w:ilvl w:val="0"/>
          <w:numId w:val="1"/>
        </w:numPr>
        <w:tabs>
          <w:tab w:val="left" w:pos="1080"/>
        </w:tabs>
        <w:snapToGrid w:val="0"/>
        <w:spacing w:line="560" w:lineRule="exact"/>
        <w:ind w:left="0" w:right="420" w:rightChars="200" w:firstLine="640" w:firstLineChars="200"/>
        <w:rPr>
          <w:rFonts w:ascii="黑体" w:hAnsi="黑体" w:eastAsia="黑体"/>
          <w:sz w:val="32"/>
          <w:szCs w:val="32"/>
        </w:rPr>
      </w:pPr>
      <w:r>
        <w:rPr>
          <w:rFonts w:hint="eastAsia" w:ascii="黑体" w:hAnsi="黑体" w:eastAsia="黑体"/>
          <w:sz w:val="32"/>
          <w:szCs w:val="32"/>
        </w:rPr>
        <w:t>发布公告的媒介</w:t>
      </w:r>
    </w:p>
    <w:p w14:paraId="3C24D8B9">
      <w:pPr>
        <w:pStyle w:val="12"/>
        <w:spacing w:line="560" w:lineRule="exact"/>
        <w:ind w:right="420" w:rightChars="200" w:firstLine="640"/>
        <w:rPr>
          <w:rFonts w:ascii="仿宋" w:hAnsi="仿宋" w:eastAsia="仿宋" w:cs="宋体"/>
          <w:kern w:val="0"/>
          <w:sz w:val="32"/>
          <w:szCs w:val="32"/>
        </w:rPr>
      </w:pPr>
      <w:r>
        <w:rPr>
          <w:rFonts w:hint="eastAsia" w:ascii="仿宋" w:hAnsi="仿宋" w:eastAsia="仿宋" w:cs="宋体"/>
          <w:kern w:val="0"/>
          <w:sz w:val="32"/>
          <w:szCs w:val="32"/>
        </w:rPr>
        <w:t>本次招标公告同时在 “厦门轻工集团-招标招租https://www.xmqinggong.com.cn/</w:t>
      </w:r>
      <w:bookmarkStart w:id="0" w:name="OLE_LINK1"/>
      <w:r>
        <w:rPr>
          <w:rFonts w:hint="eastAsia" w:ascii="仿宋" w:hAnsi="仿宋" w:eastAsia="仿宋" w:cs="宋体"/>
          <w:kern w:val="0"/>
          <w:sz w:val="32"/>
          <w:szCs w:val="32"/>
        </w:rPr>
        <w:t>”</w:t>
      </w:r>
      <w:bookmarkEnd w:id="0"/>
      <w:r>
        <w:rPr>
          <w:rFonts w:hint="eastAsia" w:ascii="仿宋" w:hAnsi="仿宋" w:eastAsia="仿宋" w:cs="宋体"/>
          <w:kern w:val="0"/>
          <w:sz w:val="32"/>
          <w:szCs w:val="32"/>
        </w:rPr>
        <w:t xml:space="preserve"> “厦门古龙食品有限公司官网-网站公告</w:t>
      </w:r>
      <w:r>
        <w:fldChar w:fldCharType="begin"/>
      </w:r>
      <w:r>
        <w:instrText xml:space="preserve"> HYPERLINK "https://www.gulongfoods.com/" </w:instrText>
      </w:r>
      <w:r>
        <w:fldChar w:fldCharType="separate"/>
      </w:r>
      <w:r>
        <w:rPr>
          <w:rFonts w:hint="eastAsia" w:ascii="仿宋" w:hAnsi="仿宋" w:eastAsia="仿宋" w:cs="宋体"/>
          <w:kern w:val="0"/>
          <w:sz w:val="32"/>
          <w:szCs w:val="32"/>
        </w:rPr>
        <w:t>https://www.gulongfoods.com/</w:t>
      </w:r>
      <w:r>
        <w:rPr>
          <w:rFonts w:hint="eastAsia" w:ascii="仿宋" w:hAnsi="仿宋" w:eastAsia="仿宋" w:cs="宋体"/>
          <w:kern w:val="0"/>
          <w:sz w:val="32"/>
          <w:szCs w:val="32"/>
        </w:rPr>
        <w:fldChar w:fldCharType="end"/>
      </w:r>
      <w:r>
        <w:rPr>
          <w:rFonts w:hint="eastAsia" w:ascii="仿宋" w:hAnsi="仿宋" w:eastAsia="仿宋" w:cs="宋体"/>
          <w:kern w:val="0"/>
          <w:sz w:val="32"/>
          <w:szCs w:val="32"/>
        </w:rPr>
        <w:t>” 福易采电子交易平台厦门分区</w:t>
      </w:r>
      <w:bookmarkStart w:id="1" w:name="OLE_LINK4"/>
      <w:bookmarkStart w:id="2" w:name="OLE_LINK5"/>
      <w:r>
        <w:rPr>
          <w:rFonts w:ascii="仿宋" w:hAnsi="仿宋" w:eastAsia="仿宋" w:cs="宋体"/>
          <w:kern w:val="0"/>
          <w:sz w:val="32"/>
          <w:szCs w:val="32"/>
        </w:rPr>
        <w:t>https://www.xmygcg.com/#/home</w:t>
      </w:r>
      <w:bookmarkEnd w:id="1"/>
      <w:bookmarkEnd w:id="2"/>
      <w:r>
        <w:rPr>
          <w:rFonts w:hint="eastAsia" w:ascii="仿宋" w:hAnsi="仿宋" w:eastAsia="仿宋" w:cs="宋体"/>
          <w:kern w:val="0"/>
          <w:sz w:val="32"/>
          <w:szCs w:val="32"/>
        </w:rPr>
        <w:t>” 发布。</w:t>
      </w:r>
    </w:p>
    <w:p w14:paraId="52CEDD0B">
      <w:pPr>
        <w:numPr>
          <w:ilvl w:val="0"/>
          <w:numId w:val="1"/>
        </w:numPr>
        <w:tabs>
          <w:tab w:val="left" w:pos="1080"/>
        </w:tabs>
        <w:snapToGrid w:val="0"/>
        <w:spacing w:line="560" w:lineRule="exact"/>
        <w:ind w:left="0" w:right="420" w:rightChars="200" w:firstLine="640" w:firstLineChars="200"/>
        <w:rPr>
          <w:rFonts w:ascii="黑体" w:hAnsi="黑体" w:eastAsia="黑体"/>
          <w:sz w:val="32"/>
          <w:szCs w:val="32"/>
        </w:rPr>
      </w:pPr>
      <w:r>
        <w:rPr>
          <w:rFonts w:hint="eastAsia" w:ascii="黑体" w:hAnsi="黑体" w:eastAsia="黑体"/>
          <w:sz w:val="32"/>
          <w:szCs w:val="32"/>
        </w:rPr>
        <w:t>其他</w:t>
      </w:r>
    </w:p>
    <w:p w14:paraId="34278EAC">
      <w:pPr>
        <w:pStyle w:val="12"/>
        <w:spacing w:line="560" w:lineRule="exact"/>
        <w:ind w:right="420" w:rightChars="200" w:firstLine="640"/>
        <w:rPr>
          <w:rFonts w:ascii="仿宋" w:hAnsi="仿宋" w:eastAsia="仿宋" w:cs="宋体"/>
          <w:kern w:val="0"/>
          <w:sz w:val="32"/>
          <w:szCs w:val="32"/>
        </w:rPr>
      </w:pPr>
      <w:r>
        <w:rPr>
          <w:rFonts w:hint="eastAsia" w:ascii="仿宋" w:hAnsi="仿宋" w:eastAsia="仿宋" w:cs="宋体"/>
          <w:kern w:val="0"/>
          <w:sz w:val="32"/>
          <w:szCs w:val="32"/>
        </w:rPr>
        <w:t>有关本招标项目的其他事宜，详见招标文件或与本项目有关联系人联系。</w:t>
      </w:r>
    </w:p>
    <w:p w14:paraId="17757C25">
      <w:pPr>
        <w:numPr>
          <w:ilvl w:val="0"/>
          <w:numId w:val="1"/>
        </w:numPr>
        <w:tabs>
          <w:tab w:val="left" w:pos="1080"/>
        </w:tabs>
        <w:snapToGrid w:val="0"/>
        <w:spacing w:line="560" w:lineRule="exact"/>
        <w:ind w:left="0" w:right="420" w:rightChars="200" w:firstLine="640" w:firstLineChars="200"/>
        <w:rPr>
          <w:rFonts w:ascii="黑体" w:hAnsi="黑体" w:eastAsia="黑体"/>
          <w:sz w:val="32"/>
          <w:szCs w:val="32"/>
        </w:rPr>
      </w:pPr>
      <w:r>
        <w:rPr>
          <w:rFonts w:hint="eastAsia" w:ascii="黑体" w:hAnsi="黑体" w:eastAsia="黑体"/>
          <w:sz w:val="32"/>
          <w:szCs w:val="32"/>
        </w:rPr>
        <w:t>投标有关事宜的联系方式：</w:t>
      </w:r>
    </w:p>
    <w:p w14:paraId="6F580F7A">
      <w:pPr>
        <w:pStyle w:val="12"/>
        <w:spacing w:line="560" w:lineRule="exact"/>
        <w:ind w:right="420" w:rightChars="200" w:firstLine="640"/>
        <w:rPr>
          <w:rFonts w:ascii="仿宋" w:hAnsi="仿宋" w:eastAsia="仿宋" w:cs="宋体"/>
          <w:kern w:val="0"/>
          <w:sz w:val="32"/>
          <w:szCs w:val="32"/>
        </w:rPr>
      </w:pPr>
      <w:r>
        <w:rPr>
          <w:rFonts w:hint="eastAsia" w:ascii="仿宋" w:hAnsi="仿宋" w:eastAsia="仿宋" w:cs="宋体"/>
          <w:kern w:val="0"/>
          <w:sz w:val="32"/>
          <w:szCs w:val="32"/>
        </w:rPr>
        <w:t>招标人：厦门古龙食品有限公司</w:t>
      </w:r>
    </w:p>
    <w:p w14:paraId="6CAA056E">
      <w:pPr>
        <w:pStyle w:val="12"/>
        <w:spacing w:line="560" w:lineRule="exact"/>
        <w:ind w:right="420" w:rightChars="200" w:firstLine="640"/>
        <w:rPr>
          <w:rFonts w:ascii="仿宋" w:hAnsi="仿宋" w:eastAsia="仿宋" w:cs="宋体"/>
          <w:kern w:val="0"/>
          <w:sz w:val="32"/>
          <w:szCs w:val="32"/>
        </w:rPr>
      </w:pPr>
      <w:r>
        <w:rPr>
          <w:rFonts w:hint="eastAsia" w:ascii="仿宋" w:hAnsi="仿宋" w:eastAsia="仿宋" w:cs="宋体"/>
          <w:kern w:val="0"/>
          <w:sz w:val="32"/>
          <w:szCs w:val="32"/>
        </w:rPr>
        <w:t>地  址：厦门市同集中路1666号古龙工业园</w:t>
      </w:r>
    </w:p>
    <w:p w14:paraId="6F757753">
      <w:pPr>
        <w:pStyle w:val="12"/>
        <w:spacing w:line="560" w:lineRule="exact"/>
        <w:ind w:right="420" w:rightChars="200" w:firstLine="640"/>
        <w:rPr>
          <w:rFonts w:ascii="仿宋" w:hAnsi="仿宋" w:eastAsia="仿宋" w:cs="宋体"/>
          <w:kern w:val="0"/>
          <w:sz w:val="32"/>
          <w:szCs w:val="32"/>
        </w:rPr>
      </w:pPr>
      <w:r>
        <w:rPr>
          <w:rFonts w:hint="eastAsia" w:ascii="仿宋" w:hAnsi="仿宋" w:eastAsia="仿宋" w:cs="宋体"/>
          <w:kern w:val="0"/>
          <w:sz w:val="32"/>
          <w:szCs w:val="32"/>
        </w:rPr>
        <w:t xml:space="preserve">邮  编：361100 </w:t>
      </w:r>
    </w:p>
    <w:p w14:paraId="5ADD4920">
      <w:pPr>
        <w:pStyle w:val="12"/>
        <w:spacing w:line="560" w:lineRule="exact"/>
        <w:ind w:right="420" w:rightChars="200" w:firstLine="640"/>
        <w:rPr>
          <w:rFonts w:ascii="仿宋" w:hAnsi="仿宋" w:eastAsia="仿宋" w:cs="宋体"/>
          <w:kern w:val="0"/>
          <w:sz w:val="32"/>
          <w:szCs w:val="32"/>
        </w:rPr>
      </w:pPr>
      <w:r>
        <w:rPr>
          <w:rFonts w:hint="eastAsia" w:ascii="仿宋" w:hAnsi="仿宋" w:eastAsia="仿宋" w:cs="宋体"/>
          <w:kern w:val="0"/>
          <w:sz w:val="32"/>
          <w:szCs w:val="32"/>
        </w:rPr>
        <w:t xml:space="preserve">联系人（项目）：王子晨  电话：0592-7396723  </w:t>
      </w:r>
    </w:p>
    <w:p w14:paraId="46C69BF2">
      <w:pPr>
        <w:pStyle w:val="12"/>
        <w:spacing w:line="560" w:lineRule="exact"/>
        <w:ind w:right="420" w:rightChars="200" w:firstLine="640"/>
        <w:rPr>
          <w:rFonts w:ascii="仿宋" w:hAnsi="仿宋" w:eastAsia="仿宋" w:cs="宋体"/>
          <w:kern w:val="0"/>
          <w:sz w:val="32"/>
          <w:szCs w:val="32"/>
        </w:rPr>
      </w:pPr>
      <w:r>
        <w:rPr>
          <w:rFonts w:hint="eastAsia" w:ascii="仿宋" w:hAnsi="仿宋" w:eastAsia="仿宋" w:cs="宋体"/>
          <w:kern w:val="0"/>
          <w:sz w:val="32"/>
          <w:szCs w:val="32"/>
        </w:rPr>
        <w:t>手机：13656001237</w:t>
      </w:r>
    </w:p>
    <w:p w14:paraId="6643AE48">
      <w:pPr>
        <w:pStyle w:val="12"/>
        <w:spacing w:line="560" w:lineRule="exact"/>
        <w:ind w:right="420" w:rightChars="200" w:firstLine="640"/>
        <w:rPr>
          <w:rFonts w:ascii="仿宋" w:hAnsi="仿宋" w:eastAsia="仿宋" w:cs="宋体"/>
          <w:kern w:val="0"/>
          <w:sz w:val="32"/>
          <w:szCs w:val="32"/>
        </w:rPr>
      </w:pPr>
      <w:r>
        <w:rPr>
          <w:rFonts w:hint="eastAsia" w:ascii="仿宋" w:hAnsi="仿宋" w:eastAsia="仿宋" w:cs="宋体"/>
          <w:kern w:val="0"/>
          <w:sz w:val="32"/>
          <w:szCs w:val="32"/>
        </w:rPr>
        <w:t xml:space="preserve">联系人（企务）：林亚梅  电话：0592-7396737  </w:t>
      </w:r>
    </w:p>
    <w:p w14:paraId="0BDE30E4">
      <w:pPr>
        <w:pStyle w:val="12"/>
        <w:spacing w:line="560" w:lineRule="exact"/>
        <w:ind w:right="420" w:rightChars="200" w:firstLine="640"/>
        <w:rPr>
          <w:rFonts w:ascii="仿宋" w:hAnsi="仿宋" w:eastAsia="仿宋" w:cs="宋体"/>
          <w:kern w:val="0"/>
          <w:sz w:val="32"/>
          <w:szCs w:val="32"/>
        </w:rPr>
      </w:pPr>
      <w:r>
        <w:rPr>
          <w:rFonts w:hint="eastAsia" w:ascii="仿宋" w:hAnsi="仿宋" w:eastAsia="仿宋" w:cs="宋体"/>
          <w:kern w:val="0"/>
          <w:sz w:val="32"/>
          <w:szCs w:val="32"/>
        </w:rPr>
        <w:t>手机：15959373651</w:t>
      </w:r>
    </w:p>
    <w:p w14:paraId="3E9797E9">
      <w:pPr>
        <w:pStyle w:val="12"/>
        <w:spacing w:line="560" w:lineRule="exact"/>
        <w:ind w:right="420" w:rightChars="200" w:firstLine="640"/>
        <w:rPr>
          <w:rFonts w:ascii="仿宋" w:hAnsi="仿宋" w:eastAsia="仿宋" w:cs="宋体"/>
          <w:kern w:val="0"/>
          <w:sz w:val="32"/>
          <w:szCs w:val="32"/>
        </w:rPr>
      </w:pPr>
      <w:r>
        <w:rPr>
          <w:rFonts w:hint="eastAsia" w:ascii="仿宋" w:hAnsi="仿宋" w:eastAsia="仿宋" w:cs="宋体"/>
          <w:kern w:val="0"/>
          <w:sz w:val="32"/>
          <w:szCs w:val="32"/>
        </w:rPr>
        <w:t>联系人（福易采电子交易平台）：</w:t>
      </w:r>
      <w:bookmarkStart w:id="10" w:name="_GoBack"/>
      <w:bookmarkEnd w:id="10"/>
      <w:r>
        <w:rPr>
          <w:rFonts w:hint="eastAsia" w:ascii="仿宋" w:hAnsi="仿宋" w:eastAsia="仿宋" w:cs="宋体"/>
          <w:kern w:val="0"/>
          <w:sz w:val="32"/>
          <w:szCs w:val="32"/>
        </w:rPr>
        <w:t xml:space="preserve">谢育菲        </w:t>
      </w:r>
    </w:p>
    <w:p w14:paraId="7E60C64B">
      <w:pPr>
        <w:pStyle w:val="12"/>
        <w:spacing w:line="560" w:lineRule="exact"/>
        <w:ind w:right="420" w:rightChars="200" w:firstLine="640"/>
        <w:rPr>
          <w:rFonts w:ascii="仿宋" w:hAnsi="仿宋" w:eastAsia="仿宋" w:cs="宋体"/>
          <w:kern w:val="0"/>
          <w:sz w:val="32"/>
          <w:szCs w:val="32"/>
        </w:rPr>
      </w:pPr>
      <w:r>
        <w:rPr>
          <w:rFonts w:hint="eastAsia" w:ascii="仿宋" w:hAnsi="仿宋" w:eastAsia="仿宋" w:cs="宋体"/>
          <w:kern w:val="0"/>
          <w:sz w:val="32"/>
          <w:szCs w:val="32"/>
        </w:rPr>
        <w:t>手机：15959392341</w:t>
      </w:r>
    </w:p>
    <w:p w14:paraId="740CA6E0">
      <w:pPr>
        <w:pStyle w:val="12"/>
        <w:spacing w:line="560" w:lineRule="exact"/>
        <w:ind w:right="420" w:rightChars="200" w:firstLine="640"/>
        <w:rPr>
          <w:rFonts w:ascii="仿宋" w:hAnsi="仿宋" w:eastAsia="仿宋" w:cs="宋体"/>
          <w:kern w:val="0"/>
          <w:sz w:val="32"/>
          <w:szCs w:val="32"/>
        </w:rPr>
      </w:pPr>
    </w:p>
    <w:p w14:paraId="3BE84ECA">
      <w:pPr>
        <w:pStyle w:val="12"/>
        <w:spacing w:line="560" w:lineRule="exact"/>
        <w:ind w:right="420" w:rightChars="200" w:firstLine="640"/>
        <w:rPr>
          <w:rFonts w:ascii="仿宋" w:hAnsi="仿宋" w:eastAsia="仿宋" w:cs="宋体"/>
          <w:kern w:val="0"/>
          <w:sz w:val="32"/>
          <w:szCs w:val="32"/>
        </w:rPr>
      </w:pPr>
      <w:r>
        <w:rPr>
          <w:rFonts w:hint="eastAsia" w:ascii="仿宋" w:hAnsi="仿宋" w:eastAsia="仿宋" w:cs="宋体"/>
          <w:kern w:val="0"/>
          <w:sz w:val="32"/>
          <w:szCs w:val="32"/>
        </w:rPr>
        <w:t xml:space="preserve">                         厦门古龙食品有限公司</w:t>
      </w:r>
    </w:p>
    <w:p w14:paraId="298C33A4">
      <w:pPr>
        <w:pStyle w:val="12"/>
        <w:spacing w:line="560" w:lineRule="exact"/>
        <w:ind w:right="420" w:rightChars="200" w:firstLine="640"/>
        <w:rPr>
          <w:rFonts w:ascii="仿宋" w:hAnsi="仿宋" w:eastAsia="仿宋" w:cs="宋体"/>
          <w:kern w:val="0"/>
          <w:sz w:val="32"/>
          <w:szCs w:val="32"/>
        </w:rPr>
      </w:pPr>
      <w:r>
        <w:rPr>
          <w:rFonts w:hint="eastAsia" w:ascii="仿宋" w:hAnsi="仿宋" w:eastAsia="仿宋" w:cs="宋体"/>
          <w:kern w:val="0"/>
          <w:sz w:val="32"/>
          <w:szCs w:val="32"/>
        </w:rPr>
        <w:t xml:space="preserve">                         2026年11月2日</w:t>
      </w:r>
    </w:p>
    <w:p w14:paraId="1B774790">
      <w:pPr>
        <w:pStyle w:val="12"/>
        <w:rPr>
          <w:rFonts w:hint="eastAsia" w:ascii="宋体" w:hAnsi="宋体" w:cs="宋体"/>
          <w:kern w:val="0"/>
        </w:rPr>
      </w:pPr>
    </w:p>
    <w:p w14:paraId="0D69F879">
      <w:pPr>
        <w:pStyle w:val="12"/>
        <w:rPr>
          <w:rFonts w:hint="eastAsia" w:ascii="宋体" w:hAnsi="宋体" w:cs="宋体"/>
          <w:kern w:val="0"/>
        </w:rPr>
      </w:pPr>
    </w:p>
    <w:p w14:paraId="7DEA9526">
      <w:pPr>
        <w:pStyle w:val="12"/>
        <w:rPr>
          <w:rFonts w:hint="eastAsia" w:ascii="宋体" w:hAnsi="宋体" w:cs="宋体"/>
          <w:kern w:val="0"/>
        </w:rPr>
      </w:pPr>
    </w:p>
    <w:p w14:paraId="39451C95">
      <w:pPr>
        <w:pStyle w:val="12"/>
        <w:rPr>
          <w:rFonts w:ascii="宋体" w:hAnsi="宋体" w:cs="宋体"/>
          <w:kern w:val="0"/>
        </w:rPr>
      </w:pPr>
    </w:p>
    <w:p w14:paraId="747A1CF2">
      <w:pPr>
        <w:pStyle w:val="4"/>
        <w:rPr>
          <w:rFonts w:ascii="宋体" w:hAnsi="宋体" w:eastAsia="宋体"/>
        </w:rPr>
      </w:pPr>
      <w:bookmarkStart w:id="3" w:name="_Toc398504588"/>
      <w:bookmarkStart w:id="4" w:name="_Toc398284532"/>
      <w:bookmarkStart w:id="5" w:name="_Toc24580_WPSOffice_Level2"/>
      <w:bookmarkStart w:id="6" w:name="_Toc241655589"/>
      <w:bookmarkStart w:id="7" w:name="_Toc184302882"/>
      <w:bookmarkStart w:id="8" w:name="_Toc22940"/>
      <w:bookmarkStart w:id="9" w:name="_Toc120608807"/>
      <w:r>
        <w:rPr>
          <w:rFonts w:ascii="宋体" w:hAnsi="宋体" w:eastAsia="宋体"/>
        </w:rPr>
        <w:t>附：</w:t>
      </w:r>
      <w:bookmarkEnd w:id="3"/>
      <w:bookmarkEnd w:id="4"/>
      <w:r>
        <w:rPr>
          <w:rFonts w:hint="eastAsia" w:ascii="宋体" w:hAnsi="宋体" w:eastAsia="宋体"/>
        </w:rPr>
        <w:t>招标项目一览表</w:t>
      </w:r>
      <w:bookmarkEnd w:id="5"/>
      <w:bookmarkEnd w:id="6"/>
      <w:bookmarkEnd w:id="7"/>
      <w:bookmarkEnd w:id="8"/>
      <w:bookmarkEnd w:id="9"/>
    </w:p>
    <w:tbl>
      <w:tblPr>
        <w:tblStyle w:val="8"/>
        <w:tblW w:w="50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85"/>
        <w:gridCol w:w="2010"/>
        <w:gridCol w:w="781"/>
        <w:gridCol w:w="1561"/>
        <w:gridCol w:w="1425"/>
        <w:gridCol w:w="1559"/>
      </w:tblGrid>
      <w:tr w14:paraId="0FD1C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592" w:type="pct"/>
            <w:shd w:val="clear" w:color="auto" w:fill="F1F1F1"/>
            <w:noWrap/>
            <w:vAlign w:val="center"/>
          </w:tcPr>
          <w:p w14:paraId="49BA97FF">
            <w:pPr>
              <w:jc w:val="center"/>
              <w:rPr>
                <w:rFonts w:ascii="仿宋" w:hAnsi="仿宋" w:eastAsia="仿宋"/>
                <w:sz w:val="32"/>
                <w:szCs w:val="32"/>
              </w:rPr>
            </w:pPr>
            <w:r>
              <w:rPr>
                <w:rFonts w:ascii="仿宋" w:hAnsi="仿宋" w:eastAsia="仿宋"/>
                <w:sz w:val="32"/>
                <w:szCs w:val="32"/>
              </w:rPr>
              <w:t>合同包</w:t>
            </w:r>
          </w:p>
        </w:tc>
        <w:tc>
          <w:tcPr>
            <w:tcW w:w="1208" w:type="pct"/>
            <w:shd w:val="clear" w:color="auto" w:fill="F1F1F1"/>
            <w:noWrap/>
            <w:tcMar>
              <w:top w:w="0" w:type="dxa"/>
              <w:left w:w="108" w:type="dxa"/>
              <w:bottom w:w="0" w:type="dxa"/>
              <w:right w:w="108" w:type="dxa"/>
            </w:tcMar>
            <w:vAlign w:val="center"/>
          </w:tcPr>
          <w:p w14:paraId="12C526CA">
            <w:pPr>
              <w:jc w:val="center"/>
              <w:rPr>
                <w:rFonts w:ascii="仿宋" w:hAnsi="仿宋" w:eastAsia="仿宋"/>
                <w:sz w:val="32"/>
                <w:szCs w:val="32"/>
              </w:rPr>
            </w:pPr>
            <w:r>
              <w:rPr>
                <w:rFonts w:hint="eastAsia" w:ascii="仿宋" w:hAnsi="仿宋" w:eastAsia="仿宋"/>
                <w:sz w:val="32"/>
                <w:szCs w:val="32"/>
              </w:rPr>
              <w:t>项目名称</w:t>
            </w:r>
          </w:p>
        </w:tc>
        <w:tc>
          <w:tcPr>
            <w:tcW w:w="469" w:type="pct"/>
            <w:shd w:val="clear" w:color="auto" w:fill="F1F1F1"/>
            <w:noWrap/>
            <w:vAlign w:val="center"/>
          </w:tcPr>
          <w:p w14:paraId="79C092D8">
            <w:pPr>
              <w:jc w:val="center"/>
              <w:rPr>
                <w:rFonts w:ascii="仿宋" w:hAnsi="仿宋" w:eastAsia="仿宋"/>
                <w:sz w:val="32"/>
                <w:szCs w:val="32"/>
              </w:rPr>
            </w:pPr>
            <w:r>
              <w:rPr>
                <w:rFonts w:ascii="仿宋" w:hAnsi="仿宋" w:eastAsia="仿宋"/>
                <w:sz w:val="32"/>
                <w:szCs w:val="32"/>
              </w:rPr>
              <w:t>数量</w:t>
            </w:r>
          </w:p>
        </w:tc>
        <w:tc>
          <w:tcPr>
            <w:tcW w:w="938" w:type="pct"/>
            <w:shd w:val="clear" w:color="auto" w:fill="F1F1F1"/>
            <w:noWrap/>
            <w:vAlign w:val="center"/>
          </w:tcPr>
          <w:p w14:paraId="5EB50CA6">
            <w:pPr>
              <w:jc w:val="center"/>
              <w:rPr>
                <w:rFonts w:ascii="仿宋" w:hAnsi="仿宋" w:eastAsia="仿宋"/>
                <w:sz w:val="32"/>
                <w:szCs w:val="32"/>
              </w:rPr>
            </w:pPr>
            <w:r>
              <w:rPr>
                <w:rFonts w:hint="eastAsia" w:ascii="仿宋" w:hAnsi="仿宋" w:eastAsia="仿宋"/>
                <w:sz w:val="32"/>
                <w:szCs w:val="32"/>
              </w:rPr>
              <w:t>标的要求</w:t>
            </w:r>
          </w:p>
        </w:tc>
        <w:tc>
          <w:tcPr>
            <w:tcW w:w="856" w:type="pct"/>
            <w:shd w:val="clear" w:color="auto" w:fill="F1F1F1"/>
            <w:noWrap/>
            <w:vAlign w:val="center"/>
          </w:tcPr>
          <w:p w14:paraId="0E58AFB5">
            <w:pPr>
              <w:jc w:val="center"/>
              <w:rPr>
                <w:rFonts w:ascii="仿宋" w:hAnsi="仿宋" w:eastAsia="仿宋"/>
                <w:sz w:val="32"/>
                <w:szCs w:val="32"/>
              </w:rPr>
            </w:pPr>
            <w:r>
              <w:rPr>
                <w:rFonts w:hint="eastAsia" w:ascii="仿宋" w:hAnsi="仿宋" w:eastAsia="仿宋"/>
                <w:sz w:val="32"/>
                <w:szCs w:val="32"/>
              </w:rPr>
              <w:t>服务地点</w:t>
            </w:r>
          </w:p>
        </w:tc>
        <w:tc>
          <w:tcPr>
            <w:tcW w:w="938" w:type="pct"/>
            <w:shd w:val="clear" w:color="auto" w:fill="F1F1F1"/>
            <w:noWrap/>
            <w:vAlign w:val="center"/>
          </w:tcPr>
          <w:p w14:paraId="08832688">
            <w:pPr>
              <w:jc w:val="center"/>
              <w:rPr>
                <w:rFonts w:ascii="仿宋" w:hAnsi="仿宋" w:eastAsia="仿宋"/>
                <w:sz w:val="32"/>
                <w:szCs w:val="32"/>
              </w:rPr>
            </w:pPr>
            <w:r>
              <w:rPr>
                <w:rFonts w:hint="eastAsia" w:ascii="仿宋" w:hAnsi="仿宋" w:eastAsia="仿宋"/>
                <w:sz w:val="32"/>
                <w:szCs w:val="32"/>
              </w:rPr>
              <w:t>备注</w:t>
            </w:r>
          </w:p>
        </w:tc>
      </w:tr>
      <w:tr w14:paraId="0A72C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213" w:hRule="atLeast"/>
          <w:jc w:val="center"/>
        </w:trPr>
        <w:tc>
          <w:tcPr>
            <w:tcW w:w="592" w:type="pct"/>
            <w:noWrap/>
            <w:vAlign w:val="center"/>
          </w:tcPr>
          <w:p w14:paraId="3DD866F2">
            <w:pPr>
              <w:jc w:val="center"/>
              <w:rPr>
                <w:rFonts w:ascii="仿宋" w:hAnsi="仿宋" w:eastAsia="仿宋"/>
                <w:sz w:val="32"/>
                <w:szCs w:val="32"/>
              </w:rPr>
            </w:pPr>
            <w:r>
              <w:rPr>
                <w:rFonts w:ascii="仿宋" w:hAnsi="仿宋" w:eastAsia="仿宋"/>
                <w:sz w:val="32"/>
                <w:szCs w:val="32"/>
              </w:rPr>
              <w:t>一</w:t>
            </w:r>
          </w:p>
        </w:tc>
        <w:tc>
          <w:tcPr>
            <w:tcW w:w="1208" w:type="pct"/>
            <w:noWrap/>
            <w:tcMar>
              <w:top w:w="0" w:type="dxa"/>
              <w:left w:w="108" w:type="dxa"/>
              <w:bottom w:w="0" w:type="dxa"/>
              <w:right w:w="108" w:type="dxa"/>
            </w:tcMar>
            <w:vAlign w:val="center"/>
          </w:tcPr>
          <w:p w14:paraId="0F9CDC9D">
            <w:pPr>
              <w:jc w:val="center"/>
              <w:rPr>
                <w:rFonts w:ascii="仿宋" w:hAnsi="仿宋" w:eastAsia="仿宋"/>
                <w:sz w:val="32"/>
                <w:szCs w:val="32"/>
              </w:rPr>
            </w:pPr>
            <w:r>
              <w:rPr>
                <w:rFonts w:hint="eastAsia" w:ascii="仿宋" w:hAnsi="仿宋" w:eastAsia="仿宋"/>
                <w:sz w:val="32"/>
                <w:szCs w:val="32"/>
              </w:rPr>
              <w:t>调味温湿度控制项目</w:t>
            </w:r>
          </w:p>
        </w:tc>
        <w:tc>
          <w:tcPr>
            <w:tcW w:w="469" w:type="pct"/>
            <w:noWrap/>
            <w:vAlign w:val="center"/>
          </w:tcPr>
          <w:p w14:paraId="09E6EB6C">
            <w:pPr>
              <w:jc w:val="center"/>
              <w:rPr>
                <w:rFonts w:ascii="仿宋" w:hAnsi="仿宋" w:eastAsia="仿宋"/>
                <w:sz w:val="32"/>
                <w:szCs w:val="32"/>
              </w:rPr>
            </w:pPr>
            <w:r>
              <w:rPr>
                <w:rFonts w:hint="eastAsia" w:ascii="仿宋" w:hAnsi="仿宋" w:eastAsia="仿宋"/>
                <w:sz w:val="32"/>
                <w:szCs w:val="32"/>
              </w:rPr>
              <w:t>1项</w:t>
            </w:r>
          </w:p>
        </w:tc>
        <w:tc>
          <w:tcPr>
            <w:tcW w:w="938" w:type="pct"/>
            <w:noWrap/>
            <w:vAlign w:val="center"/>
          </w:tcPr>
          <w:p w14:paraId="74924970">
            <w:pPr>
              <w:jc w:val="center"/>
              <w:rPr>
                <w:rFonts w:ascii="仿宋" w:hAnsi="仿宋" w:eastAsia="仿宋"/>
                <w:sz w:val="32"/>
                <w:szCs w:val="32"/>
              </w:rPr>
            </w:pPr>
            <w:r>
              <w:rPr>
                <w:rFonts w:hint="eastAsia" w:ascii="仿宋" w:hAnsi="仿宋" w:eastAsia="仿宋"/>
                <w:sz w:val="32"/>
                <w:szCs w:val="32"/>
              </w:rPr>
              <w:t>详见招标文件第三章</w:t>
            </w:r>
          </w:p>
        </w:tc>
        <w:tc>
          <w:tcPr>
            <w:tcW w:w="856" w:type="pct"/>
            <w:noWrap/>
            <w:vAlign w:val="center"/>
          </w:tcPr>
          <w:p w14:paraId="2A9A03E1">
            <w:pPr>
              <w:jc w:val="center"/>
              <w:rPr>
                <w:rFonts w:ascii="仿宋" w:hAnsi="仿宋" w:eastAsia="仿宋"/>
                <w:sz w:val="32"/>
                <w:szCs w:val="32"/>
              </w:rPr>
            </w:pPr>
            <w:r>
              <w:rPr>
                <w:rFonts w:hint="eastAsia" w:ascii="仿宋" w:hAnsi="仿宋" w:eastAsia="仿宋"/>
                <w:sz w:val="32"/>
                <w:szCs w:val="32"/>
              </w:rPr>
              <w:t>厦门市同集中路1666号古龙工业园</w:t>
            </w:r>
          </w:p>
        </w:tc>
        <w:tc>
          <w:tcPr>
            <w:tcW w:w="938" w:type="pct"/>
            <w:noWrap/>
            <w:vAlign w:val="center"/>
          </w:tcPr>
          <w:p w14:paraId="5CF3F8B6">
            <w:pPr>
              <w:pStyle w:val="5"/>
              <w:rPr>
                <w:rFonts w:ascii="仿宋" w:hAnsi="仿宋" w:eastAsia="仿宋"/>
                <w:sz w:val="32"/>
                <w:szCs w:val="32"/>
              </w:rPr>
            </w:pPr>
          </w:p>
        </w:tc>
      </w:tr>
    </w:tbl>
    <w:p w14:paraId="37B2582D">
      <w:pPr>
        <w:pStyle w:val="12"/>
        <w:spacing w:line="560" w:lineRule="exact"/>
        <w:ind w:right="420" w:rightChars="200" w:firstLine="640"/>
        <w:rPr>
          <w:rFonts w:ascii="仿宋" w:hAnsi="仿宋" w:eastAsia="仿宋" w:cs="宋体"/>
          <w:kern w:val="0"/>
          <w:sz w:val="32"/>
          <w:szCs w:val="32"/>
        </w:rPr>
      </w:pPr>
      <w:r>
        <w:rPr>
          <w:rFonts w:hint="eastAsia" w:ascii="仿宋" w:hAnsi="仿宋" w:eastAsia="仿宋" w:cs="宋体"/>
          <w:kern w:val="0"/>
          <w:sz w:val="32"/>
          <w:szCs w:val="32"/>
        </w:rPr>
        <w:t>注：本项目为一个合同包整体招标，投标人对同一合同包内所有内容投标时必须完整。评标与授标以合同包为单位。</w:t>
      </w:r>
    </w:p>
    <w:p w14:paraId="6144318C">
      <w:pPr>
        <w:pStyle w:val="12"/>
        <w:rPr>
          <w:rFonts w:ascii="宋体" w:hAnsi="宋体" w:cs="宋体"/>
          <w:kern w:val="0"/>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E2710">
    <w:pPr>
      <w:pStyle w:val="7"/>
      <w:jc w:val="center"/>
    </w:pPr>
    <w:r>
      <w:fldChar w:fldCharType="begin"/>
    </w:r>
    <w:r>
      <w:instrText xml:space="preserve"> PAGE   \* MERGEFORMAT </w:instrText>
    </w:r>
    <w:r>
      <w:fldChar w:fldCharType="separate"/>
    </w:r>
    <w:r>
      <w:rPr>
        <w:lang w:val="zh-CN"/>
      </w:rPr>
      <w:t>1</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AC2341"/>
    <w:multiLevelType w:val="multilevel"/>
    <w:tmpl w:val="57AC2341"/>
    <w:lvl w:ilvl="0" w:tentative="0">
      <w:start w:val="1"/>
      <w:numFmt w:val="chineseCountingThousand"/>
      <w:lvlText w:val="%1、"/>
      <w:lvlJc w:val="left"/>
      <w:pPr>
        <w:ind w:left="1050" w:hanging="420"/>
      </w:pPr>
    </w:lvl>
    <w:lvl w:ilvl="1" w:tentative="0">
      <w:start w:val="1"/>
      <w:numFmt w:val="lowerLetter"/>
      <w:lvlText w:val="%2)"/>
      <w:lvlJc w:val="left"/>
      <w:pPr>
        <w:ind w:left="1470" w:hanging="420"/>
      </w:pPr>
    </w:lvl>
    <w:lvl w:ilvl="2" w:tentative="0">
      <w:start w:val="1"/>
      <w:numFmt w:val="lowerRoman"/>
      <w:lvlText w:val="%3."/>
      <w:lvlJc w:val="right"/>
      <w:pPr>
        <w:ind w:left="1890" w:hanging="420"/>
      </w:pPr>
    </w:lvl>
    <w:lvl w:ilvl="3" w:tentative="0">
      <w:start w:val="1"/>
      <w:numFmt w:val="decimal"/>
      <w:lvlText w:val="%4."/>
      <w:lvlJc w:val="left"/>
      <w:pPr>
        <w:ind w:left="2310" w:hanging="420"/>
      </w:pPr>
    </w:lvl>
    <w:lvl w:ilvl="4" w:tentative="0">
      <w:start w:val="1"/>
      <w:numFmt w:val="lowerLetter"/>
      <w:lvlText w:val="%5)"/>
      <w:lvlJc w:val="left"/>
      <w:pPr>
        <w:ind w:left="2730" w:hanging="420"/>
      </w:pPr>
    </w:lvl>
    <w:lvl w:ilvl="5" w:tentative="0">
      <w:start w:val="1"/>
      <w:numFmt w:val="lowerRoman"/>
      <w:lvlText w:val="%6."/>
      <w:lvlJc w:val="right"/>
      <w:pPr>
        <w:ind w:left="3150" w:hanging="420"/>
      </w:pPr>
    </w:lvl>
    <w:lvl w:ilvl="6" w:tentative="0">
      <w:start w:val="1"/>
      <w:numFmt w:val="decimal"/>
      <w:lvlText w:val="%7."/>
      <w:lvlJc w:val="left"/>
      <w:pPr>
        <w:ind w:left="3570" w:hanging="420"/>
      </w:pPr>
    </w:lvl>
    <w:lvl w:ilvl="7" w:tentative="0">
      <w:start w:val="1"/>
      <w:numFmt w:val="lowerLetter"/>
      <w:lvlText w:val="%8)"/>
      <w:lvlJc w:val="left"/>
      <w:pPr>
        <w:ind w:left="3990" w:hanging="420"/>
      </w:pPr>
    </w:lvl>
    <w:lvl w:ilvl="8" w:tentative="0">
      <w:start w:val="1"/>
      <w:numFmt w:val="lowerRoman"/>
      <w:lvlText w:val="%9."/>
      <w:lvlJc w:val="right"/>
      <w:pPr>
        <w:ind w:left="441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1B6DA6"/>
    <w:rsid w:val="00033D47"/>
    <w:rsid w:val="00041729"/>
    <w:rsid w:val="00055CBC"/>
    <w:rsid w:val="000569C3"/>
    <w:rsid w:val="000648A5"/>
    <w:rsid w:val="0009319A"/>
    <w:rsid w:val="00094A1E"/>
    <w:rsid w:val="00096C89"/>
    <w:rsid w:val="000B736A"/>
    <w:rsid w:val="000C6E9B"/>
    <w:rsid w:val="000D2581"/>
    <w:rsid w:val="000E2263"/>
    <w:rsid w:val="00103AFE"/>
    <w:rsid w:val="001166A0"/>
    <w:rsid w:val="00121BBC"/>
    <w:rsid w:val="001660AA"/>
    <w:rsid w:val="00180F5E"/>
    <w:rsid w:val="00184552"/>
    <w:rsid w:val="00187347"/>
    <w:rsid w:val="00194597"/>
    <w:rsid w:val="0019685D"/>
    <w:rsid w:val="001A4D4E"/>
    <w:rsid w:val="001A54A2"/>
    <w:rsid w:val="001B5F1E"/>
    <w:rsid w:val="001B6DA6"/>
    <w:rsid w:val="001C061E"/>
    <w:rsid w:val="00204736"/>
    <w:rsid w:val="00212B97"/>
    <w:rsid w:val="00257121"/>
    <w:rsid w:val="002644E3"/>
    <w:rsid w:val="00266580"/>
    <w:rsid w:val="002D776C"/>
    <w:rsid w:val="002E7506"/>
    <w:rsid w:val="002F3242"/>
    <w:rsid w:val="003113D5"/>
    <w:rsid w:val="003176B6"/>
    <w:rsid w:val="00344B2D"/>
    <w:rsid w:val="00347A0B"/>
    <w:rsid w:val="003606DE"/>
    <w:rsid w:val="00370AE9"/>
    <w:rsid w:val="00387D87"/>
    <w:rsid w:val="003A4912"/>
    <w:rsid w:val="003A4F9E"/>
    <w:rsid w:val="003A598B"/>
    <w:rsid w:val="003B771F"/>
    <w:rsid w:val="003C0624"/>
    <w:rsid w:val="003C1747"/>
    <w:rsid w:val="003C3DE7"/>
    <w:rsid w:val="003E7854"/>
    <w:rsid w:val="004A3A4F"/>
    <w:rsid w:val="004A5F1A"/>
    <w:rsid w:val="004A738B"/>
    <w:rsid w:val="004B3374"/>
    <w:rsid w:val="004F4F78"/>
    <w:rsid w:val="005314F2"/>
    <w:rsid w:val="0054369F"/>
    <w:rsid w:val="00550EAB"/>
    <w:rsid w:val="005A49F0"/>
    <w:rsid w:val="005B64DD"/>
    <w:rsid w:val="005C0BAE"/>
    <w:rsid w:val="005D45A3"/>
    <w:rsid w:val="005E608C"/>
    <w:rsid w:val="005F00D2"/>
    <w:rsid w:val="005F3158"/>
    <w:rsid w:val="005F7F18"/>
    <w:rsid w:val="00605BAE"/>
    <w:rsid w:val="00615CAA"/>
    <w:rsid w:val="00656078"/>
    <w:rsid w:val="00686012"/>
    <w:rsid w:val="00696ADC"/>
    <w:rsid w:val="006A453C"/>
    <w:rsid w:val="006F1FA2"/>
    <w:rsid w:val="00706CEB"/>
    <w:rsid w:val="00707507"/>
    <w:rsid w:val="00740FBE"/>
    <w:rsid w:val="00767FBA"/>
    <w:rsid w:val="00771274"/>
    <w:rsid w:val="0078598D"/>
    <w:rsid w:val="007870AE"/>
    <w:rsid w:val="00796589"/>
    <w:rsid w:val="007C0C00"/>
    <w:rsid w:val="007C455A"/>
    <w:rsid w:val="007C47CB"/>
    <w:rsid w:val="007C6531"/>
    <w:rsid w:val="007E280D"/>
    <w:rsid w:val="007F7516"/>
    <w:rsid w:val="008006BC"/>
    <w:rsid w:val="0081047B"/>
    <w:rsid w:val="00810E05"/>
    <w:rsid w:val="00813CE1"/>
    <w:rsid w:val="008324B9"/>
    <w:rsid w:val="00871AF4"/>
    <w:rsid w:val="008752F3"/>
    <w:rsid w:val="0087661F"/>
    <w:rsid w:val="008A318D"/>
    <w:rsid w:val="008B5296"/>
    <w:rsid w:val="008C7005"/>
    <w:rsid w:val="008D31E4"/>
    <w:rsid w:val="009402E2"/>
    <w:rsid w:val="00960E21"/>
    <w:rsid w:val="00967F5B"/>
    <w:rsid w:val="00992E8C"/>
    <w:rsid w:val="009946E1"/>
    <w:rsid w:val="009B5E34"/>
    <w:rsid w:val="00A05A81"/>
    <w:rsid w:val="00A13155"/>
    <w:rsid w:val="00A236B3"/>
    <w:rsid w:val="00A4176A"/>
    <w:rsid w:val="00A45765"/>
    <w:rsid w:val="00A802C1"/>
    <w:rsid w:val="00AD662A"/>
    <w:rsid w:val="00B13EE7"/>
    <w:rsid w:val="00B24FEB"/>
    <w:rsid w:val="00B31F99"/>
    <w:rsid w:val="00B33B33"/>
    <w:rsid w:val="00B8501B"/>
    <w:rsid w:val="00B94D98"/>
    <w:rsid w:val="00BC5815"/>
    <w:rsid w:val="00BD5BE2"/>
    <w:rsid w:val="00BE5BF5"/>
    <w:rsid w:val="00BF1C78"/>
    <w:rsid w:val="00C04BBD"/>
    <w:rsid w:val="00C07B57"/>
    <w:rsid w:val="00C3470B"/>
    <w:rsid w:val="00C3729B"/>
    <w:rsid w:val="00C404EA"/>
    <w:rsid w:val="00C55C93"/>
    <w:rsid w:val="00C57142"/>
    <w:rsid w:val="00C747C2"/>
    <w:rsid w:val="00C83E40"/>
    <w:rsid w:val="00C93E83"/>
    <w:rsid w:val="00CB72A8"/>
    <w:rsid w:val="00CF7AC7"/>
    <w:rsid w:val="00D144A7"/>
    <w:rsid w:val="00D16468"/>
    <w:rsid w:val="00D2084B"/>
    <w:rsid w:val="00D3164E"/>
    <w:rsid w:val="00D40571"/>
    <w:rsid w:val="00D4090E"/>
    <w:rsid w:val="00D76FE8"/>
    <w:rsid w:val="00DD4B9E"/>
    <w:rsid w:val="00DE223D"/>
    <w:rsid w:val="00DE384E"/>
    <w:rsid w:val="00DF3022"/>
    <w:rsid w:val="00E05DD7"/>
    <w:rsid w:val="00E2304F"/>
    <w:rsid w:val="00E32BE0"/>
    <w:rsid w:val="00E651C6"/>
    <w:rsid w:val="00E77208"/>
    <w:rsid w:val="00EB3CBD"/>
    <w:rsid w:val="00EC21AA"/>
    <w:rsid w:val="00EE1B35"/>
    <w:rsid w:val="00EF6A25"/>
    <w:rsid w:val="00F1000F"/>
    <w:rsid w:val="00F131EE"/>
    <w:rsid w:val="00F52572"/>
    <w:rsid w:val="00F55594"/>
    <w:rsid w:val="00F82AAE"/>
    <w:rsid w:val="00FD52FF"/>
    <w:rsid w:val="00FF3BDD"/>
    <w:rsid w:val="00FF7884"/>
    <w:rsid w:val="0EF7366F"/>
    <w:rsid w:val="25EF6C1C"/>
    <w:rsid w:val="2DEEB1B8"/>
    <w:rsid w:val="2F4FF989"/>
    <w:rsid w:val="3AAF6165"/>
    <w:rsid w:val="3B5E3524"/>
    <w:rsid w:val="3BDF72E3"/>
    <w:rsid w:val="3F3FD349"/>
    <w:rsid w:val="487BC241"/>
    <w:rsid w:val="49F9A699"/>
    <w:rsid w:val="4FBDFEDE"/>
    <w:rsid w:val="549DE731"/>
    <w:rsid w:val="59982338"/>
    <w:rsid w:val="5EFE36EE"/>
    <w:rsid w:val="5FAF5441"/>
    <w:rsid w:val="5FFFD1A2"/>
    <w:rsid w:val="65FF7E05"/>
    <w:rsid w:val="67FB951C"/>
    <w:rsid w:val="682E01BA"/>
    <w:rsid w:val="6BE70856"/>
    <w:rsid w:val="6DFF5B33"/>
    <w:rsid w:val="6DFF84E9"/>
    <w:rsid w:val="73BF88F0"/>
    <w:rsid w:val="774EA7BC"/>
    <w:rsid w:val="777F0AD2"/>
    <w:rsid w:val="79DF8EC4"/>
    <w:rsid w:val="79FF8529"/>
    <w:rsid w:val="7BDF04DC"/>
    <w:rsid w:val="7BDFEE7E"/>
    <w:rsid w:val="7BFA6943"/>
    <w:rsid w:val="7EF428B5"/>
    <w:rsid w:val="7EFFD242"/>
    <w:rsid w:val="7F3CD1BD"/>
    <w:rsid w:val="7FEFA6CC"/>
    <w:rsid w:val="7FF7E988"/>
    <w:rsid w:val="7FFD210E"/>
    <w:rsid w:val="97BFB0AD"/>
    <w:rsid w:val="9ACFB7D3"/>
    <w:rsid w:val="9BDC75D8"/>
    <w:rsid w:val="9F9FBAE5"/>
    <w:rsid w:val="AEDBA636"/>
    <w:rsid w:val="AFDEEF5A"/>
    <w:rsid w:val="AFDFD8A7"/>
    <w:rsid w:val="AFEF65ED"/>
    <w:rsid w:val="B5772210"/>
    <w:rsid w:val="B7FFC75D"/>
    <w:rsid w:val="BCFF0D10"/>
    <w:rsid w:val="BDA14B93"/>
    <w:rsid w:val="BEADCF4E"/>
    <w:rsid w:val="BFD9159E"/>
    <w:rsid w:val="D4FB1E72"/>
    <w:rsid w:val="D5EB6C7C"/>
    <w:rsid w:val="D9EF3A44"/>
    <w:rsid w:val="DABD7FAB"/>
    <w:rsid w:val="DD3C22A6"/>
    <w:rsid w:val="DD9BC7FA"/>
    <w:rsid w:val="DDEB0314"/>
    <w:rsid w:val="DFCB5D04"/>
    <w:rsid w:val="DFEF264C"/>
    <w:rsid w:val="DFF7EFAA"/>
    <w:rsid w:val="E3A9F82B"/>
    <w:rsid w:val="E7AD969D"/>
    <w:rsid w:val="EACEFE0E"/>
    <w:rsid w:val="EBFF910C"/>
    <w:rsid w:val="EF9F32F2"/>
    <w:rsid w:val="EFBF3584"/>
    <w:rsid w:val="EFDB3E0C"/>
    <w:rsid w:val="F37D7A2A"/>
    <w:rsid w:val="F735C6BC"/>
    <w:rsid w:val="F7DB458F"/>
    <w:rsid w:val="F7DF315B"/>
    <w:rsid w:val="F7FE0508"/>
    <w:rsid w:val="F7FF4B1B"/>
    <w:rsid w:val="F7FFB7F8"/>
    <w:rsid w:val="F8769F14"/>
    <w:rsid w:val="F8FC74B2"/>
    <w:rsid w:val="F9CA1B69"/>
    <w:rsid w:val="FADFEF49"/>
    <w:rsid w:val="FBDC9F01"/>
    <w:rsid w:val="FBFF0BAB"/>
    <w:rsid w:val="FD8E2341"/>
    <w:rsid w:val="FDB757BE"/>
    <w:rsid w:val="FDFF1B72"/>
    <w:rsid w:val="FE2BF0EA"/>
    <w:rsid w:val="FE5C5570"/>
    <w:rsid w:val="FE756810"/>
    <w:rsid w:val="FEE5E59F"/>
    <w:rsid w:val="FEECD158"/>
    <w:rsid w:val="FEFB4C05"/>
    <w:rsid w:val="FF6C4C36"/>
    <w:rsid w:val="FF6F8AB1"/>
    <w:rsid w:val="FFBE283C"/>
    <w:rsid w:val="FFBFC453"/>
    <w:rsid w:val="FFDF3B0F"/>
    <w:rsid w:val="FFFD33E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7"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0"/>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7"/>
    <w:pPr>
      <w:widowControl/>
      <w:ind w:left="425"/>
      <w:jc w:val="left"/>
    </w:pPr>
    <w:rPr>
      <w:kern w:val="0"/>
      <w:sz w:val="20"/>
      <w:szCs w:val="20"/>
      <w:lang w:eastAsia="en-US"/>
    </w:rPr>
  </w:style>
  <w:style w:type="paragraph" w:styleId="3">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Body Text"/>
    <w:basedOn w:val="1"/>
    <w:qFormat/>
    <w:uiPriority w:val="0"/>
    <w:pPr>
      <w:spacing w:after="120"/>
    </w:pPr>
  </w:style>
  <w:style w:type="paragraph" w:styleId="6">
    <w:name w:val="Balloon Text"/>
    <w:basedOn w:val="1"/>
    <w:link w:val="18"/>
    <w:semiHidden/>
    <w:unhideWhenUsed/>
    <w:qFormat/>
    <w:uiPriority w:val="99"/>
    <w:rPr>
      <w:sz w:val="18"/>
      <w:szCs w:val="18"/>
    </w:rPr>
  </w:style>
  <w:style w:type="paragraph" w:styleId="7">
    <w:name w:val="footer"/>
    <w:basedOn w:val="1"/>
    <w:link w:val="11"/>
    <w:unhideWhenUsed/>
    <w:qFormat/>
    <w:uiPriority w:val="99"/>
    <w:pPr>
      <w:tabs>
        <w:tab w:val="center" w:pos="4153"/>
        <w:tab w:val="right" w:pos="8306"/>
      </w:tabs>
      <w:snapToGrid w:val="0"/>
      <w:jc w:val="left"/>
    </w:pPr>
    <w:rPr>
      <w:sz w:val="18"/>
      <w:szCs w:val="18"/>
    </w:rPr>
  </w:style>
  <w:style w:type="character" w:styleId="10">
    <w:name w:val="Hyperlink"/>
    <w:unhideWhenUsed/>
    <w:qFormat/>
    <w:uiPriority w:val="99"/>
    <w:rPr>
      <w:color w:val="0000FF"/>
      <w:u w:val="single"/>
    </w:rPr>
  </w:style>
  <w:style w:type="character" w:customStyle="1" w:styleId="11">
    <w:name w:val="页脚 Char"/>
    <w:basedOn w:val="9"/>
    <w:link w:val="7"/>
    <w:qFormat/>
    <w:uiPriority w:val="99"/>
    <w:rPr>
      <w:rFonts w:ascii="Times New Roman" w:hAnsi="Times New Roman" w:eastAsia="宋体" w:cs="Times New Roman"/>
      <w:sz w:val="18"/>
      <w:szCs w:val="18"/>
    </w:rPr>
  </w:style>
  <w:style w:type="paragraph" w:customStyle="1" w:styleId="12">
    <w:name w:val="正文f"/>
    <w:basedOn w:val="1"/>
    <w:link w:val="14"/>
    <w:qFormat/>
    <w:uiPriority w:val="0"/>
    <w:pPr>
      <w:spacing w:line="360" w:lineRule="auto"/>
      <w:ind w:firstLine="480" w:firstLineChars="200"/>
    </w:pPr>
    <w:rPr>
      <w:sz w:val="24"/>
    </w:rPr>
  </w:style>
  <w:style w:type="paragraph" w:customStyle="1" w:styleId="13">
    <w:name w:val="标题f"/>
    <w:basedOn w:val="1"/>
    <w:link w:val="15"/>
    <w:qFormat/>
    <w:uiPriority w:val="0"/>
    <w:pPr>
      <w:jc w:val="center"/>
    </w:pPr>
    <w:rPr>
      <w:rFonts w:ascii="黑体" w:eastAsia="黑体"/>
      <w:sz w:val="36"/>
      <w:szCs w:val="36"/>
    </w:rPr>
  </w:style>
  <w:style w:type="character" w:customStyle="1" w:styleId="14">
    <w:name w:val="正文f Char"/>
    <w:link w:val="12"/>
    <w:qFormat/>
    <w:uiPriority w:val="0"/>
    <w:rPr>
      <w:rFonts w:ascii="Times New Roman" w:hAnsi="Times New Roman" w:eastAsia="宋体" w:cs="Times New Roman"/>
      <w:sz w:val="24"/>
      <w:szCs w:val="24"/>
    </w:rPr>
  </w:style>
  <w:style w:type="character" w:customStyle="1" w:styleId="15">
    <w:name w:val="标题f Char"/>
    <w:link w:val="13"/>
    <w:qFormat/>
    <w:uiPriority w:val="0"/>
    <w:rPr>
      <w:rFonts w:ascii="黑体" w:hAnsi="Times New Roman" w:eastAsia="黑体" w:cs="Times New Roman"/>
      <w:sz w:val="36"/>
      <w:szCs w:val="36"/>
    </w:rPr>
  </w:style>
  <w:style w:type="character" w:customStyle="1" w:styleId="16">
    <w:name w:val="页眉 Char"/>
    <w:basedOn w:val="9"/>
    <w:link w:val="3"/>
    <w:qFormat/>
    <w:uiPriority w:val="99"/>
    <w:rPr>
      <w:rFonts w:ascii="Times New Roman" w:hAnsi="Times New Roman" w:eastAsia="宋体" w:cs="Times New Roman"/>
      <w:sz w:val="18"/>
      <w:szCs w:val="18"/>
    </w:rPr>
  </w:style>
  <w:style w:type="character" w:customStyle="1" w:styleId="17">
    <w:name w:val="at_0"/>
    <w:basedOn w:val="9"/>
    <w:qFormat/>
    <w:uiPriority w:val="0"/>
  </w:style>
  <w:style w:type="character" w:customStyle="1" w:styleId="18">
    <w:name w:val="批注框文本 Char"/>
    <w:basedOn w:val="9"/>
    <w:link w:val="6"/>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5</Pages>
  <Words>310</Words>
  <Characters>1773</Characters>
  <Lines>14</Lines>
  <Paragraphs>4</Paragraphs>
  <TotalTime>58</TotalTime>
  <ScaleCrop>false</ScaleCrop>
  <LinksUpToDate>false</LinksUpToDate>
  <CharactersWithSpaces>2079</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2019-04-23T00:26:00Z</dcterms:created>
  <dc:creator>范苗</dc:creator>
  <cp:lastModifiedBy>kylin</cp:lastModifiedBy>
  <cp:lastPrinted>2024-09-10T01:47:00Z</cp:lastPrinted>
  <dcterms:modified xsi:type="dcterms:W3CDTF">2026-10-30T16:15:50Z</dcterms:modified>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A4A244CBBDAC6208536659663B0C1CCB</vt:lpwstr>
  </property>
</Properties>
</file>